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附件1</w:t>
      </w:r>
    </w:p>
    <w:p>
      <w:pPr>
        <w:jc w:val="center"/>
        <w:rPr>
          <w:rFonts w:ascii="黑体" w:hAnsi="黑体" w:eastAsia="黑体"/>
          <w:sz w:val="40"/>
        </w:rPr>
      </w:pPr>
      <w:bookmarkStart w:id="0" w:name="_GoBack"/>
      <w:r>
        <w:rPr>
          <w:rFonts w:hint="eastAsia" w:ascii="黑体" w:hAnsi="黑体" w:eastAsia="黑体"/>
          <w:sz w:val="40"/>
        </w:rPr>
        <w:t>全国中医药高等教育“十四五”规划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t>2021年</w:t>
      </w:r>
      <w:r>
        <w:rPr>
          <w:rFonts w:hint="eastAsia" w:ascii="黑体" w:hAnsi="黑体" w:eastAsia="黑体"/>
          <w:sz w:val="40"/>
        </w:rPr>
        <w:t>度</w:t>
      </w:r>
      <w:r>
        <w:rPr>
          <w:rFonts w:ascii="黑体" w:hAnsi="黑体" w:eastAsia="黑体"/>
          <w:sz w:val="40"/>
        </w:rPr>
        <w:t>教育科研课题</w:t>
      </w:r>
      <w:r>
        <w:rPr>
          <w:rFonts w:hint="eastAsia" w:ascii="黑体" w:hAnsi="黑体" w:eastAsia="黑体"/>
          <w:sz w:val="40"/>
        </w:rPr>
        <w:t>招标指南</w:t>
      </w:r>
    </w:p>
    <w:bookmarkEnd w:id="0"/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中医药教育服务健康中国战略实现路径研究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</w:t>
      </w:r>
      <w:r>
        <w:rPr>
          <w:rFonts w:hint="eastAsia" w:ascii="仿宋" w:hAnsi="仿宋" w:eastAsia="仿宋"/>
          <w:sz w:val="32"/>
          <w:szCs w:val="30"/>
        </w:rPr>
        <w:t>院校课程思政价值内涵及教育体系建设</w:t>
      </w:r>
      <w:r>
        <w:rPr>
          <w:rFonts w:ascii="仿宋" w:hAnsi="仿宋" w:eastAsia="仿宋"/>
          <w:sz w:val="32"/>
          <w:szCs w:val="30"/>
        </w:rPr>
        <w:t>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信息化时代，智能中医药教育新形态研究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新时期中医药院校高质量发展策略研究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中医药高等教育质量评估体系的特色</w:t>
      </w:r>
      <w:r>
        <w:rPr>
          <w:rFonts w:hint="eastAsia" w:ascii="仿宋" w:hAnsi="仿宋" w:eastAsia="仿宋"/>
          <w:sz w:val="32"/>
          <w:szCs w:val="30"/>
        </w:rPr>
        <w:t>与</w:t>
      </w:r>
      <w:r>
        <w:rPr>
          <w:rFonts w:ascii="仿宋" w:hAnsi="仿宋" w:eastAsia="仿宋"/>
          <w:sz w:val="32"/>
          <w:szCs w:val="30"/>
        </w:rPr>
        <w:t>范式研究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left="851" w:right="225" w:rightChars="107" w:hanging="425" w:firstLineChars="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中医药各类专业人才核心能力、培养模式与评价体系研究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中医药课程体系改革研究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 xml:space="preserve">中国特色中医药教材体系建设相关研究 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 xml:space="preserve">健康中国背景下，中医药人才岗位胜任力实证研究 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中医药经典能力等级考试实证研究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中医师承教育理论、规范化与评价体系研究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w:t>中医药研究生培养制度创新研究</w:t>
      </w:r>
    </w:p>
    <w:p>
      <w:pPr>
        <w:pStyle w:val="5"/>
        <w:numPr>
          <w:ilvl w:val="0"/>
          <w:numId w:val="1"/>
        </w:numPr>
        <w:tabs>
          <w:tab w:val="left" w:pos="426"/>
        </w:tabs>
        <w:spacing w:line="360" w:lineRule="auto"/>
        <w:ind w:right="225" w:rightChars="107" w:hanging="561" w:firstLineChars="0"/>
        <w:rPr>
          <w:rFonts w:ascii="仿宋" w:hAnsi="仿宋" w:eastAsia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0"/>
        </w:rPr>
        <w:t>中医药院校教师教学能力现状及提升路径实证研究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suff w:val="space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2FBC"/>
    <w:rsid w:val="305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2020-09-28T08:55:00Z</dcterms:created>
  <dc:creator>南栀.</dc:creator>
  <cp:lastModifiedBy>南栀.</cp:lastModifiedBy>
  <dcterms:modified xsi:type="dcterms:W3CDTF">2020-09-28T08:56:18Z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